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Công ty TNHH Quản lý Quỹ Eastspring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r w:rsidRPr="009104CD">
              <w:rPr>
                <w:rFonts w:ascii="Times New Roman" w:eastAsia="Times New Roman" w:hAnsi="Times New Roman" w:cs="Times New Roman"/>
                <w:b/>
                <w:bCs/>
              </w:rPr>
              <w:t>Quỹ đầu tư cổ phiếu ESG Eastspring Investments Việt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
                <w:bCs/>
                <w:i/>
                <w:lang w:eastAsia="en-GB"/>
              </w:rPr>
              <w:t>Mẫu số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(Ban hành theo TT số 198/2012/TT-BTC ngày 15/11/2012 của Bộ Tài Chính)</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4F1739D6" w:rsidR="0021456D" w:rsidRPr="007A39A5" w:rsidRDefault="0012677B" w:rsidP="00A62440">
      <w:pPr>
        <w:spacing w:after="0" w:line="240" w:lineRule="auto"/>
        <w:jc w:val="center"/>
        <w:rPr>
          <w:rFonts w:ascii="Times New Roman" w:eastAsia="Times New Roman" w:hAnsi="Times New Roman" w:cs="Times New Roman"/>
          <w:b/>
          <w:bCs/>
        </w:rPr>
      </w:pPr>
      <w:r w:rsidRPr="007A39A5">
        <w:rPr>
          <w:rFonts w:ascii="Times New Roman" w:eastAsia="Times New Roman" w:hAnsi="Times New Roman" w:cs="Times New Roman"/>
          <w:b/>
          <w:bCs/>
        </w:rPr>
        <w:t xml:space="preserve">Quý </w:t>
      </w:r>
      <w:r w:rsidR="00785E82">
        <w:rPr>
          <w:rFonts w:ascii="Times New Roman" w:eastAsia="Times New Roman" w:hAnsi="Times New Roman" w:cs="Times New Roman"/>
          <w:b/>
          <w:bCs/>
        </w:rPr>
        <w:t>I</w:t>
      </w:r>
      <w:r w:rsidR="00EE7D76">
        <w:rPr>
          <w:rFonts w:ascii="Times New Roman" w:eastAsia="Times New Roman" w:hAnsi="Times New Roman" w:cs="Times New Roman"/>
          <w:b/>
          <w:bCs/>
        </w:rPr>
        <w:t>I</w:t>
      </w:r>
      <w:r w:rsidR="00785E82">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năm </w:t>
      </w:r>
      <w:r w:rsidR="00EF3C04" w:rsidRPr="007A39A5">
        <w:rPr>
          <w:rFonts w:ascii="Times New Roman" w:eastAsia="Times New Roman" w:hAnsi="Times New Roman" w:cs="Times New Roman"/>
          <w:b/>
          <w:bCs/>
        </w:rPr>
        <w:t>202</w:t>
      </w:r>
      <w:r w:rsidR="000E50E5">
        <w:rPr>
          <w:rFonts w:ascii="Times New Roman" w:eastAsia="Times New Roman" w:hAnsi="Times New Roman" w:cs="Times New Roman"/>
          <w:b/>
          <w:bCs/>
        </w:rPr>
        <w:t>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e) Quỹ không được đầu tư quá 10% tổng giá trị tài sản của Quỹ vào cổ phiếu chào bán lần đầu ra công chúng;</w:t>
      </w:r>
    </w:p>
    <w:p w14:paraId="3F3DF80B" w14:textId="4B6C91C1"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0D5E8F">
      <w:pPr>
        <w:numPr>
          <w:ilvl w:val="0"/>
          <w:numId w:val="8"/>
        </w:numPr>
        <w:tabs>
          <w:tab w:val="left" w:pos="284"/>
        </w:tabs>
        <w:spacing w:after="0" w:line="240" w:lineRule="auto"/>
        <w:ind w:left="0" w:firstLine="0"/>
        <w:jc w:val="both"/>
        <w:rPr>
          <w:rFonts w:ascii="Times New Roman" w:eastAsia="Times New Roman" w:hAnsi="Times New Roman"/>
          <w:lang w:val="nl-NL"/>
        </w:rPr>
      </w:pPr>
      <w:r w:rsidRPr="00483A63">
        <w:rPr>
          <w:rFonts w:ascii="Times New Roman" w:eastAsia="Times New Roman" w:hAnsi="Times New Roman"/>
          <w:i/>
        </w:rPr>
        <w:t>Nguyên tắc phân loại</w:t>
      </w:r>
    </w:p>
    <w:p w14:paraId="53C93E33" w14:textId="77777777" w:rsidR="009F4CB2" w:rsidRPr="00453F9E" w:rsidRDefault="009F4CB2" w:rsidP="000D5E8F">
      <w:pPr>
        <w:tabs>
          <w:tab w:val="left" w:pos="284"/>
        </w:tabs>
        <w:spacing w:after="0" w:line="24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0D5E8F">
      <w:pPr>
        <w:numPr>
          <w:ilvl w:val="0"/>
          <w:numId w:val="8"/>
        </w:numPr>
        <w:tabs>
          <w:tab w:val="left" w:pos="284"/>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0D5E8F">
      <w:pPr>
        <w:tabs>
          <w:tab w:val="left" w:pos="284"/>
        </w:tabs>
        <w:spacing w:after="0" w:line="24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0D5E8F">
      <w:pPr>
        <w:pStyle w:val="ListParagraph"/>
        <w:numPr>
          <w:ilvl w:val="0"/>
          <w:numId w:val="8"/>
        </w:numPr>
        <w:tabs>
          <w:tab w:val="left" w:pos="360"/>
        </w:tabs>
        <w:spacing w:after="0" w:line="24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lastRenderedPageBreak/>
        <w:t>+ Tiền gửi có kỳ hạn, chứng chỉ tiền gửi được ghi nhận theo giá gốc;</w:t>
      </w:r>
    </w:p>
    <w:p w14:paraId="47053BBB"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0D5E8F">
      <w:pPr>
        <w:spacing w:after="0" w:line="24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0D5E8F">
        <w:rPr>
          <w:rFonts w:ascii="Times New Roman" w:hAnsi="Times New Roman"/>
          <w:lang w:val="nl-NL"/>
        </w:rPr>
        <w:t>Thông t</w:t>
      </w:r>
      <w:r w:rsidRPr="00453F9E">
        <w:rPr>
          <w:rFonts w:ascii="Times New Roman" w:hAnsi="Times New Roman"/>
          <w:lang w:val="vi-VN"/>
        </w:rPr>
        <w:t xml:space="preserve">ư </w:t>
      </w:r>
      <w:r w:rsidRPr="000D5E8F">
        <w:rPr>
          <w:rFonts w:ascii="Times New Roman" w:hAnsi="Times New Roman"/>
          <w:lang w:val="nl-NL"/>
        </w:rPr>
        <w:t>15</w:t>
      </w:r>
      <w:r w:rsidRPr="00453F9E">
        <w:rPr>
          <w:rFonts w:ascii="Times New Roman" w:hAnsi="Times New Roman"/>
          <w:lang w:val="vi-VN"/>
        </w:rPr>
        <w:t>/2016/TT-BTC</w:t>
      </w:r>
      <w:r w:rsidRPr="000D5E8F">
        <w:rPr>
          <w:rFonts w:ascii="Times New Roman" w:hAnsi="Times New Roman"/>
          <w:lang w:val="nl-NL"/>
        </w:rPr>
        <w:t xml:space="preserve"> về việc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Quyền mua cổ phiếu</w:t>
      </w:r>
    </w:p>
    <w:p w14:paraId="0001632F" w14:textId="5EE483F4" w:rsidR="009F4CB2" w:rsidRDefault="009F4CB2" w:rsidP="000D5E8F">
      <w:pPr>
        <w:spacing w:after="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0D5E8F">
      <w:pPr>
        <w:spacing w:after="0" w:line="240" w:lineRule="auto"/>
        <w:jc w:val="both"/>
        <w:rPr>
          <w:rFonts w:ascii="Times New Roman" w:eastAsia="Times New Roman" w:hAnsi="Times New Roman" w:cs="Times New Roman"/>
          <w:bCs/>
          <w:lang w:val="vi-VN"/>
        </w:rPr>
      </w:pPr>
    </w:p>
    <w:p w14:paraId="3B601647" w14:textId="3CCA4102" w:rsidR="0028623E" w:rsidRPr="00483A63" w:rsidRDefault="0028623E" w:rsidP="000D5E8F">
      <w:pPr>
        <w:spacing w:after="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0D5E8F" w:rsidRDefault="0028623E" w:rsidP="000D5E8F">
      <w:pPr>
        <w:spacing w:after="0" w:line="240" w:lineRule="auto"/>
        <w:jc w:val="both"/>
        <w:rPr>
          <w:rFonts w:ascii="Times New Roman" w:eastAsia="Times New Roman" w:hAnsi="Times New Roman"/>
          <w:b/>
          <w:bCs/>
          <w:i/>
          <w:lang w:val="nl-NL"/>
        </w:rPr>
      </w:pPr>
      <w:r w:rsidRPr="000D5E8F">
        <w:rPr>
          <w:rFonts w:ascii="Times New Roman" w:eastAsia="Times New Roman" w:hAnsi="Times New Roman"/>
          <w:b/>
          <w:bCs/>
          <w:i/>
          <w:lang w:val="nl-NL"/>
        </w:rPr>
        <w:t xml:space="preserve">Dự phòng </w:t>
      </w:r>
    </w:p>
    <w:p w14:paraId="20F767BA"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0D5E8F">
            <w:pPr>
              <w:spacing w:after="0" w:line="240" w:lineRule="auto"/>
              <w:jc w:val="both"/>
              <w:rPr>
                <w:rFonts w:ascii="Times New Roman" w:eastAsia="Times New Roman" w:hAnsi="Times New Roman"/>
                <w:b/>
                <w:bCs/>
                <w:lang w:eastAsia="en-GB"/>
              </w:rPr>
            </w:pPr>
            <w:r w:rsidRPr="00453F9E">
              <w:rPr>
                <w:rFonts w:ascii="Times New Roman" w:eastAsia="Times New Roman" w:hAnsi="Times New Roman"/>
                <w:b/>
                <w:bCs/>
                <w:lang w:eastAsia="en-GB"/>
              </w:rPr>
              <w:t>Thời gian quá hạn</w:t>
            </w:r>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0D5E8F">
            <w:pPr>
              <w:spacing w:after="0" w:line="240" w:lineRule="auto"/>
              <w:jc w:val="both"/>
              <w:rPr>
                <w:rFonts w:ascii="Times New Roman" w:eastAsia="Times New Roman" w:hAnsi="Times New Roman"/>
                <w:b/>
                <w:bCs/>
                <w:lang w:eastAsia="en-GB"/>
              </w:rPr>
            </w:pPr>
            <w:r w:rsidRPr="00453F9E">
              <w:rPr>
                <w:rFonts w:ascii="Times New Roman" w:eastAsia="Times New Roman" w:hAnsi="Times New Roman"/>
                <w:b/>
                <w:bCs/>
                <w:lang w:eastAsia="en-GB"/>
              </w:rPr>
              <w:t>Mức trích lập dự phòng</w:t>
            </w:r>
          </w:p>
        </w:tc>
      </w:tr>
      <w:tr w:rsidR="0028623E" w:rsidRPr="00453F9E" w14:paraId="2B6F08B1" w14:textId="77777777" w:rsidTr="00B55FE8">
        <w:trPr>
          <w:trHeight w:val="25"/>
        </w:trPr>
        <w:tc>
          <w:tcPr>
            <w:tcW w:w="6391" w:type="dxa"/>
            <w:tcBorders>
              <w:top w:val="nil"/>
              <w:left w:val="nil"/>
              <w:bottom w:val="nil"/>
              <w:right w:val="nil"/>
            </w:tcBorders>
            <w:shd w:val="clear" w:color="auto" w:fill="auto"/>
            <w:vAlign w:val="center"/>
            <w:hideMark/>
          </w:tcPr>
          <w:p w14:paraId="2038E935" w14:textId="77777777" w:rsidR="0028623E" w:rsidRPr="00453F9E" w:rsidRDefault="0028623E" w:rsidP="000D5E8F">
            <w:pPr>
              <w:spacing w:after="0" w:line="240" w:lineRule="auto"/>
              <w:jc w:val="both"/>
              <w:rPr>
                <w:rFonts w:ascii="Times New Roman" w:eastAsia="Times New Roman" w:hAnsi="Times New Roman"/>
                <w:lang w:eastAsia="en-GB"/>
              </w:rPr>
            </w:pPr>
            <w:r w:rsidRPr="00453F9E">
              <w:rPr>
                <w:rFonts w:ascii="Times New Roman" w:eastAsia="Times New Roman" w:hAnsi="Times New Roman"/>
                <w:lang w:eastAsia="en-GB"/>
              </w:rPr>
              <w:t>Từ trên sáu (06) tháng đến dưới một (01) năm</w:t>
            </w:r>
          </w:p>
        </w:tc>
        <w:tc>
          <w:tcPr>
            <w:tcW w:w="2780" w:type="dxa"/>
            <w:tcBorders>
              <w:top w:val="nil"/>
              <w:left w:val="nil"/>
              <w:bottom w:val="nil"/>
              <w:right w:val="nil"/>
            </w:tcBorders>
            <w:shd w:val="clear" w:color="auto" w:fill="auto"/>
            <w:vAlign w:val="center"/>
            <w:hideMark/>
          </w:tcPr>
          <w:p w14:paraId="42575545"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shd w:val="clear" w:color="auto" w:fill="auto"/>
            <w:vAlign w:val="center"/>
            <w:hideMark/>
          </w:tcPr>
          <w:p w14:paraId="5DAD32DC" w14:textId="77777777" w:rsidR="0028623E" w:rsidRPr="00453F9E" w:rsidRDefault="0028623E" w:rsidP="000D5E8F">
            <w:pPr>
              <w:spacing w:after="0" w:line="240" w:lineRule="auto"/>
              <w:jc w:val="both"/>
              <w:rPr>
                <w:rFonts w:ascii="Times New Roman" w:eastAsia="Times New Roman" w:hAnsi="Times New Roman"/>
                <w:lang w:eastAsia="en-GB"/>
              </w:rPr>
            </w:pPr>
            <w:r w:rsidRPr="00453F9E">
              <w:rPr>
                <w:rFonts w:ascii="Times New Roman" w:eastAsia="Times New Roman" w:hAnsi="Times New Roman"/>
                <w:lang w:eastAsia="en-GB"/>
              </w:rPr>
              <w:t>Từ một (01) năm đến dưới hai (02) năm</w:t>
            </w:r>
          </w:p>
        </w:tc>
        <w:tc>
          <w:tcPr>
            <w:tcW w:w="2780" w:type="dxa"/>
            <w:tcBorders>
              <w:top w:val="nil"/>
              <w:left w:val="nil"/>
              <w:bottom w:val="nil"/>
              <w:right w:val="nil"/>
            </w:tcBorders>
            <w:shd w:val="clear" w:color="auto" w:fill="auto"/>
            <w:vAlign w:val="center"/>
            <w:hideMark/>
          </w:tcPr>
          <w:p w14:paraId="5885037A"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shd w:val="clear" w:color="auto" w:fill="auto"/>
            <w:vAlign w:val="center"/>
            <w:hideMark/>
          </w:tcPr>
          <w:p w14:paraId="07EECAB9" w14:textId="77777777" w:rsidR="0028623E" w:rsidRPr="00453F9E" w:rsidRDefault="0028623E" w:rsidP="000D5E8F">
            <w:pPr>
              <w:spacing w:after="0" w:line="240" w:lineRule="auto"/>
              <w:jc w:val="both"/>
              <w:rPr>
                <w:rFonts w:ascii="Times New Roman" w:eastAsia="Times New Roman" w:hAnsi="Times New Roman"/>
                <w:lang w:eastAsia="en-GB"/>
              </w:rPr>
            </w:pPr>
            <w:r w:rsidRPr="00453F9E">
              <w:rPr>
                <w:rFonts w:ascii="Times New Roman" w:eastAsia="Times New Roman" w:hAnsi="Times New Roman"/>
                <w:lang w:eastAsia="en-GB"/>
              </w:rPr>
              <w:t>Từ hai (02) năm đến dưới ba (03) năm</w:t>
            </w:r>
          </w:p>
        </w:tc>
        <w:tc>
          <w:tcPr>
            <w:tcW w:w="2780" w:type="dxa"/>
            <w:tcBorders>
              <w:top w:val="nil"/>
              <w:left w:val="nil"/>
              <w:bottom w:val="nil"/>
              <w:right w:val="nil"/>
            </w:tcBorders>
            <w:shd w:val="clear" w:color="auto" w:fill="auto"/>
            <w:vAlign w:val="center"/>
            <w:hideMark/>
          </w:tcPr>
          <w:p w14:paraId="6EE3C34B"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shd w:val="clear" w:color="auto" w:fill="auto"/>
            <w:vAlign w:val="center"/>
            <w:hideMark/>
          </w:tcPr>
          <w:p w14:paraId="3F7D4441" w14:textId="77777777" w:rsidR="0028623E" w:rsidRPr="00453F9E" w:rsidRDefault="0028623E" w:rsidP="000D5E8F">
            <w:pPr>
              <w:spacing w:after="0" w:line="240" w:lineRule="auto"/>
              <w:jc w:val="both"/>
              <w:rPr>
                <w:rFonts w:ascii="Times New Roman" w:eastAsia="Times New Roman" w:hAnsi="Times New Roman"/>
                <w:lang w:eastAsia="en-GB"/>
              </w:rPr>
            </w:pPr>
            <w:r w:rsidRPr="00453F9E">
              <w:rPr>
                <w:rFonts w:ascii="Times New Roman" w:eastAsia="Times New Roman" w:hAnsi="Times New Roman"/>
                <w:lang w:eastAsia="en-GB"/>
              </w:rPr>
              <w:t>Trên ba (03) năm</w:t>
            </w:r>
          </w:p>
        </w:tc>
        <w:tc>
          <w:tcPr>
            <w:tcW w:w="2780" w:type="dxa"/>
            <w:tcBorders>
              <w:top w:val="nil"/>
              <w:left w:val="nil"/>
              <w:bottom w:val="nil"/>
              <w:right w:val="nil"/>
            </w:tcBorders>
            <w:shd w:val="clear" w:color="auto" w:fill="auto"/>
            <w:vAlign w:val="center"/>
            <w:hideMark/>
          </w:tcPr>
          <w:p w14:paraId="43B05950"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0D5E8F">
      <w:pPr>
        <w:pStyle w:val="ListParagraph"/>
        <w:numPr>
          <w:ilvl w:val="1"/>
          <w:numId w:val="11"/>
        </w:numPr>
        <w:spacing w:after="0" w:line="240" w:lineRule="auto"/>
        <w:jc w:val="both"/>
        <w:rPr>
          <w:rFonts w:ascii="Times New Roman" w:eastAsia="Times New Roman" w:hAnsi="Times New Roman"/>
        </w:rPr>
      </w:pPr>
      <w:r w:rsidRPr="00483A63">
        <w:rPr>
          <w:rFonts w:ascii="Times New Roman" w:eastAsia="Times New Roman" w:hAnsi="Times New Roman"/>
          <w:lang w:val="vi-VN"/>
        </w:rPr>
        <w:t xml:space="preserve"> </w:t>
      </w:r>
      <w:r w:rsidRPr="00483A63">
        <w:rPr>
          <w:rFonts w:ascii="Times New Roman" w:eastAsia="Times New Roman" w:hAnsi="Times New Roman"/>
        </w:rPr>
        <w:t xml:space="preserve">Các khoản phải trả </w:t>
      </w:r>
    </w:p>
    <w:p w14:paraId="16702B9F" w14:textId="77777777" w:rsidR="00274FF0" w:rsidRDefault="00274FF0" w:rsidP="000D5E8F">
      <w:pPr>
        <w:spacing w:after="0" w:line="24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0D5E8F">
      <w:pPr>
        <w:pStyle w:val="ListParagraph"/>
        <w:numPr>
          <w:ilvl w:val="1"/>
          <w:numId w:val="11"/>
        </w:numPr>
        <w:spacing w:after="0" w:line="240" w:lineRule="auto"/>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0D5E8F">
      <w:pPr>
        <w:pStyle w:val="ListParagraph"/>
        <w:spacing w:after="0" w:line="240" w:lineRule="auto"/>
        <w:ind w:left="360"/>
        <w:rPr>
          <w:rFonts w:ascii="Times New Roman" w:hAnsi="Times New Roman"/>
          <w:lang w:val="vi-VN"/>
        </w:rPr>
      </w:pPr>
    </w:p>
    <w:p w14:paraId="43E3FFE5" w14:textId="53D1889E" w:rsidR="00274FF0" w:rsidRPr="00483A63" w:rsidRDefault="00274FF0" w:rsidP="000D5E8F">
      <w:pPr>
        <w:pStyle w:val="ListParagraph"/>
        <w:numPr>
          <w:ilvl w:val="0"/>
          <w:numId w:val="15"/>
        </w:numPr>
        <w:spacing w:after="0" w:line="24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0D5E8F">
      <w:pPr>
        <w:spacing w:after="0" w:line="240" w:lineRule="auto"/>
        <w:jc w:val="both"/>
        <w:rPr>
          <w:rFonts w:ascii="Times New Roman" w:hAnsi="Times New Roman"/>
          <w:i/>
          <w:lang w:val="nl-NL"/>
        </w:rPr>
      </w:pPr>
    </w:p>
    <w:p w14:paraId="726B29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phát hành</w:t>
      </w:r>
    </w:p>
    <w:p w14:paraId="1416AF5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lastRenderedPageBreak/>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Pr="000D5E8F" w:rsidRDefault="00274FF0" w:rsidP="000D5E8F">
      <w:pPr>
        <w:spacing w:after="0" w:line="240" w:lineRule="auto"/>
        <w:jc w:val="both"/>
        <w:rPr>
          <w:rFonts w:ascii="Times New Roman" w:eastAsia="Times New Roman" w:hAnsi="Times New Roman"/>
          <w:bCs/>
          <w:lang w:val="nl-NL" w:eastAsia="en-GB"/>
        </w:rPr>
      </w:pPr>
      <w:bookmarkStart w:id="1" w:name="_Hlk30069579"/>
      <w:r w:rsidRPr="000D5E8F">
        <w:rPr>
          <w:rFonts w:ascii="Times New Roman" w:eastAsia="Times New Roman" w:hAnsi="Times New Roman"/>
          <w:bCs/>
          <w:lang w:val="nl-NL" w:eastAsia="en-GB"/>
        </w:rPr>
        <w:t>Thặng dư vốn góp thể hiện chênh lệch giữa giá trị tài sản ròng trên một chứng chỉ quỹ với mệnh giá trên một chứng chỉ quỹ được phát hành/mua lại.</w:t>
      </w:r>
      <w:bookmarkEnd w:id="1"/>
    </w:p>
    <w:p w14:paraId="1C5D0A53" w14:textId="6AF212B8" w:rsidR="00274FF0" w:rsidRPr="000D5E8F" w:rsidRDefault="00274FF0" w:rsidP="000D5E8F">
      <w:pPr>
        <w:pStyle w:val="ListParagraph"/>
        <w:numPr>
          <w:ilvl w:val="0"/>
          <w:numId w:val="15"/>
        </w:numPr>
        <w:spacing w:after="0" w:line="240" w:lineRule="auto"/>
        <w:jc w:val="both"/>
        <w:rPr>
          <w:rFonts w:ascii="Times New Roman" w:eastAsia="Times New Roman" w:hAnsi="Times New Roman"/>
          <w:bCs/>
          <w:lang w:val="nl-NL" w:eastAsia="en-GB"/>
        </w:rPr>
      </w:pPr>
      <w:r w:rsidRPr="00483A63">
        <w:rPr>
          <w:rFonts w:ascii="Times New Roman" w:hAnsi="Times New Roman"/>
          <w:b/>
          <w:i/>
          <w:lang w:val="nl-NL"/>
        </w:rPr>
        <w:t>Lợi nhuận/(lỗ) chưa phân phối</w:t>
      </w:r>
    </w:p>
    <w:p w14:paraId="3861C38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0D5E8F">
      <w:pPr>
        <w:pStyle w:val="ListParagraph"/>
        <w:numPr>
          <w:ilvl w:val="0"/>
          <w:numId w:val="15"/>
        </w:numPr>
        <w:tabs>
          <w:tab w:val="left" w:pos="360"/>
        </w:tabs>
        <w:spacing w:after="0" w:line="24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0D5E8F">
      <w:pPr>
        <w:spacing w:after="0" w:line="24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Pr>
          <w:rFonts w:ascii="Times New Roman" w:eastAsia="Times New Roman" w:hAnsi="Times New Roman"/>
        </w:rPr>
        <w:t>Doanh</w:t>
      </w:r>
      <w:r>
        <w:rPr>
          <w:rFonts w:ascii="Times New Roman" w:eastAsia="Times New Roman" w:hAnsi="Times New Roman"/>
          <w:lang w:val="vi-VN"/>
        </w:rPr>
        <w:t xml:space="preserve"> thu</w:t>
      </w:r>
    </w:p>
    <w:p w14:paraId="32DBDD7A"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0D5E8F">
      <w:pPr>
        <w:spacing w:after="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483A63"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sidRPr="00483A63">
        <w:rPr>
          <w:rFonts w:ascii="Times New Roman" w:eastAsia="Times New Roman" w:hAnsi="Times New Roman"/>
        </w:rPr>
        <w:t>Chi phí</w:t>
      </w:r>
    </w:p>
    <w:p w14:paraId="21C4714C" w14:textId="2391696C" w:rsidR="0028623E" w:rsidRDefault="00274FF0" w:rsidP="000D5E8F">
      <w:pPr>
        <w:spacing w:after="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0D5E8F">
      <w:pPr>
        <w:pStyle w:val="Level0"/>
        <w:tabs>
          <w:tab w:val="clear" w:pos="576"/>
          <w:tab w:val="clear" w:pos="1152"/>
          <w:tab w:val="clear" w:pos="1728"/>
          <w:tab w:val="clear" w:pos="2304"/>
        </w:tabs>
        <w:overflowPunct w:val="0"/>
        <w:autoSpaceDE w:val="0"/>
        <w:autoSpaceDN w:val="0"/>
        <w:adjustRightInd w:val="0"/>
        <w:spacing w:before="0" w:line="24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0D5E8F" w14:paraId="611AF2EA" w14:textId="77777777" w:rsidTr="00B55FE8">
        <w:tc>
          <w:tcPr>
            <w:tcW w:w="4140" w:type="dxa"/>
            <w:vMerge w:val="restart"/>
            <w:vAlign w:val="center"/>
          </w:tcPr>
          <w:p w14:paraId="3112A8AE" w14:textId="77777777" w:rsidR="00D96D22" w:rsidRPr="00752E19" w:rsidRDefault="00D96D22" w:rsidP="000D5E8F">
            <w:pPr>
              <w:pStyle w:val="NormalWeb"/>
              <w:spacing w:before="0" w:beforeAutospacing="0" w:after="0" w:afterAutospacing="0"/>
              <w:ind w:hanging="19"/>
              <w:rPr>
                <w:i/>
                <w:sz w:val="22"/>
                <w:szCs w:val="22"/>
                <w:lang w:val="vi-VN"/>
              </w:rPr>
            </w:pPr>
            <w:r w:rsidRPr="00752E19">
              <w:rPr>
                <w:i/>
                <w:sz w:val="22"/>
                <w:szCs w:val="22"/>
                <w:lang w:val="vi-VN"/>
              </w:rPr>
              <w:t>Giá dịch vụ Quản Lý Quỹ</w:t>
            </w:r>
            <w:r w:rsidRPr="000D5E8F">
              <w:rPr>
                <w:i/>
                <w:sz w:val="22"/>
                <w:szCs w:val="22"/>
                <w:lang w:val="nl-NL"/>
              </w:rPr>
              <w:t xml:space="preserve"> của kỳ định giá</w:t>
            </w:r>
            <w:r w:rsidRPr="00752E19">
              <w:rPr>
                <w:i/>
                <w:sz w:val="22"/>
                <w:szCs w:val="22"/>
                <w:lang w:val="vi-VN"/>
              </w:rPr>
              <w:t xml:space="preserve"> </w:t>
            </w:r>
            <w:r w:rsidRPr="000D5E8F">
              <w:rPr>
                <w:i/>
                <w:sz w:val="22"/>
                <w:szCs w:val="22"/>
                <w:lang w:val="nl-NL"/>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0D5E8F">
            <w:pPr>
              <w:pStyle w:val="NormalWeb"/>
              <w:spacing w:before="0" w:beforeAutospacing="0" w:after="0" w:afterAutospacing="0"/>
              <w:ind w:hanging="180"/>
              <w:jc w:val="center"/>
              <w:rPr>
                <w:i/>
                <w:sz w:val="22"/>
                <w:szCs w:val="22"/>
                <w:lang w:val="vi-VN"/>
              </w:rPr>
            </w:pPr>
            <w:r w:rsidRPr="000D5E8F">
              <w:rPr>
                <w:i/>
                <w:sz w:val="22"/>
                <w:szCs w:val="22"/>
                <w:lang w:val="vi-VN"/>
              </w:rPr>
              <w:t>1,3% x</w:t>
            </w:r>
            <w:r w:rsidRPr="00752E19">
              <w:rPr>
                <w:i/>
                <w:sz w:val="22"/>
                <w:szCs w:val="22"/>
                <w:lang w:val="vi-VN"/>
              </w:rPr>
              <w:t xml:space="preserve"> </w:t>
            </w:r>
            <w:r w:rsidRPr="000D5E8F">
              <w:rPr>
                <w:i/>
                <w:sz w:val="22"/>
                <w:szCs w:val="22"/>
                <w:lang w:val="vi-VN"/>
              </w:rPr>
              <w:t xml:space="preserve">GTTSR </w:t>
            </w:r>
            <w:r w:rsidRPr="00752E19">
              <w:rPr>
                <w:i/>
                <w:sz w:val="22"/>
                <w:szCs w:val="22"/>
                <w:lang w:val="vi-VN"/>
              </w:rPr>
              <w:t xml:space="preserve">x Số ngày thực tế </w:t>
            </w:r>
            <w:r w:rsidRPr="000D5E8F">
              <w:rPr>
                <w:i/>
                <w:sz w:val="22"/>
                <w:szCs w:val="22"/>
                <w:lang w:val="vi-VN"/>
              </w:rPr>
              <w:t>trong kỳ định giá</w:t>
            </w:r>
          </w:p>
        </w:tc>
      </w:tr>
      <w:tr w:rsidR="00D96D22" w:rsidRPr="00752E19" w14:paraId="0919776E" w14:textId="77777777" w:rsidTr="00B55FE8">
        <w:tc>
          <w:tcPr>
            <w:tcW w:w="4140" w:type="dxa"/>
            <w:vMerge/>
            <w:vAlign w:val="center"/>
          </w:tcPr>
          <w:p w14:paraId="61E5F391" w14:textId="77777777" w:rsidR="00D96D22" w:rsidRPr="00752E19" w:rsidRDefault="00D96D22" w:rsidP="000D5E8F">
            <w:pPr>
              <w:pStyle w:val="NormalWeb"/>
              <w:spacing w:before="0" w:beforeAutospacing="0" w:after="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0D5E8F">
            <w:pPr>
              <w:pStyle w:val="NormalWeb"/>
              <w:spacing w:before="0" w:beforeAutospacing="0" w:after="0" w:afterAutospacing="0"/>
              <w:ind w:hanging="180"/>
              <w:jc w:val="center"/>
              <w:rPr>
                <w:i/>
                <w:sz w:val="22"/>
                <w:szCs w:val="22"/>
              </w:rPr>
            </w:pPr>
            <w:r w:rsidRPr="00752E19">
              <w:rPr>
                <w:i/>
                <w:sz w:val="22"/>
                <w:szCs w:val="22"/>
              </w:rPr>
              <w:t>365 (hoặc 366)</w:t>
            </w:r>
          </w:p>
        </w:tc>
      </w:tr>
    </w:tbl>
    <w:p w14:paraId="767C9C07" w14:textId="29AD3C4B" w:rsidR="00D96D22" w:rsidRPr="00483A63"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0D5E8F" w14:paraId="74E755D2" w14:textId="77777777" w:rsidTr="00483A63">
        <w:trPr>
          <w:trHeight w:val="351"/>
        </w:trPr>
        <w:tc>
          <w:tcPr>
            <w:tcW w:w="4315" w:type="dxa"/>
          </w:tcPr>
          <w:p w14:paraId="71EC3536"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lastRenderedPageBreak/>
              <w:t>Trên 4.600 tỷ đồng</w:t>
            </w:r>
          </w:p>
        </w:tc>
        <w:tc>
          <w:tcPr>
            <w:tcW w:w="4190" w:type="dxa"/>
          </w:tcPr>
          <w:p w14:paraId="70BA9048"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0D5E8F">
      <w:pPr>
        <w:pStyle w:val="ListParagraph"/>
        <w:numPr>
          <w:ilvl w:val="0"/>
          <w:numId w:val="19"/>
        </w:numPr>
        <w:spacing w:after="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0D5E8F">
      <w:pPr>
        <w:spacing w:after="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0D5E8F">
      <w:pPr>
        <w:spacing w:after="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Quy mô Quỹ</w:t>
            </w:r>
          </w:p>
        </w:tc>
        <w:tc>
          <w:tcPr>
            <w:tcW w:w="4503" w:type="dxa"/>
          </w:tcPr>
          <w:p w14:paraId="40BA922E"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Giá dịch vụ Giám sát (trên GTTSR)</w:t>
            </w:r>
          </w:p>
        </w:tc>
      </w:tr>
      <w:tr w:rsidR="00D96D22" w:rsidRPr="00752E19" w14:paraId="31A9683C" w14:textId="77777777" w:rsidTr="00D96D22">
        <w:tc>
          <w:tcPr>
            <w:tcW w:w="3837" w:type="dxa"/>
          </w:tcPr>
          <w:p w14:paraId="5BAC3335"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Dưới 1.000 tỷ đồng</w:t>
            </w:r>
          </w:p>
        </w:tc>
        <w:tc>
          <w:tcPr>
            <w:tcW w:w="4503" w:type="dxa"/>
          </w:tcPr>
          <w:p w14:paraId="78355922"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0,02% một năm</w:t>
            </w:r>
          </w:p>
        </w:tc>
      </w:tr>
      <w:tr w:rsidR="00D96D22" w:rsidRPr="00752E19" w14:paraId="35F310FA" w14:textId="77777777" w:rsidTr="00D96D22">
        <w:tc>
          <w:tcPr>
            <w:tcW w:w="3837" w:type="dxa"/>
          </w:tcPr>
          <w:p w14:paraId="4B109B71"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Từ 1.000 tỷ đồng đến 4.600 tỷ đồng</w:t>
            </w:r>
          </w:p>
        </w:tc>
        <w:tc>
          <w:tcPr>
            <w:tcW w:w="4503" w:type="dxa"/>
          </w:tcPr>
          <w:p w14:paraId="57280921"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0,0175% một năm</w:t>
            </w:r>
          </w:p>
        </w:tc>
      </w:tr>
      <w:tr w:rsidR="00D96D22" w:rsidRPr="00752E19" w14:paraId="1E66D026" w14:textId="77777777" w:rsidTr="00D96D22">
        <w:tc>
          <w:tcPr>
            <w:tcW w:w="3837" w:type="dxa"/>
          </w:tcPr>
          <w:p w14:paraId="48DF266E"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Trên 4.600 tỷ đồng</w:t>
            </w:r>
          </w:p>
        </w:tc>
        <w:tc>
          <w:tcPr>
            <w:tcW w:w="4503" w:type="dxa"/>
          </w:tcPr>
          <w:p w14:paraId="33D21B1C"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0,015% một năm</w:t>
            </w:r>
          </w:p>
        </w:tc>
      </w:tr>
    </w:tbl>
    <w:p w14:paraId="1D943F73" w14:textId="4C6205F6"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trả hàng tháng là tổng số giá được tính (trích lập) tại các Ngày Định Giá thực hiện trong tháng.</w:t>
      </w:r>
    </w:p>
    <w:p w14:paraId="6B5211A6" w14:textId="43E8D3CE" w:rsidR="00D96D22" w:rsidRPr="00483A63" w:rsidRDefault="00D96D22" w:rsidP="000D5E8F">
      <w:pPr>
        <w:pStyle w:val="ListParagraph"/>
        <w:numPr>
          <w:ilvl w:val="0"/>
          <w:numId w:val="20"/>
        </w:numPr>
        <w:spacing w:after="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7FA3A460" w14:textId="77777777" w:rsidTr="00B55FE8">
        <w:trPr>
          <w:trHeight w:val="248"/>
        </w:trPr>
        <w:tc>
          <w:tcPr>
            <w:tcW w:w="2430" w:type="dxa"/>
            <w:vMerge w:val="restart"/>
            <w:vAlign w:val="center"/>
          </w:tcPr>
          <w:p w14:paraId="05AC5961" w14:textId="77777777" w:rsidR="00D96D22" w:rsidRPr="00752E19" w:rsidRDefault="00D96D22" w:rsidP="000D5E8F">
            <w:pPr>
              <w:pStyle w:val="CommentText"/>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vi-VN"/>
              </w:rPr>
              <w:t>D</w:t>
            </w:r>
            <w:r w:rsidRPr="00752E19">
              <w:rPr>
                <w:rFonts w:ascii="Times New Roman" w:hAnsi="Times New Roman"/>
                <w:i/>
                <w:noProof/>
                <w:sz w:val="22"/>
                <w:szCs w:val="22"/>
                <w:lang w:val="vi-VN"/>
              </w:rPr>
              <w:t xml:space="preserve">ịch vụ </w:t>
            </w:r>
            <w:r w:rsidRPr="000D5E8F">
              <w:rPr>
                <w:rFonts w:ascii="Times New Roman" w:hAnsi="Times New Roman"/>
                <w:i/>
                <w:noProof/>
                <w:sz w:val="22"/>
                <w:szCs w:val="22"/>
                <w:lang w:val="vi-VN"/>
              </w:rPr>
              <w:t>Lưu ký, Giám sát của kỳ định giá</w:t>
            </w:r>
          </w:p>
        </w:tc>
        <w:tc>
          <w:tcPr>
            <w:tcW w:w="270" w:type="dxa"/>
            <w:vMerge w:val="restart"/>
            <w:vAlign w:val="center"/>
          </w:tcPr>
          <w:p w14:paraId="3FED8580"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0D5E8F">
            <w:pPr>
              <w:pStyle w:val="CommentText"/>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0D5E8F">
            <w:pPr>
              <w:pStyle w:val="CommentText"/>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0D5E8F">
            <w:pPr>
              <w:pStyle w:val="CommentText"/>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0D5E8F">
      <w:pPr>
        <w:spacing w:after="0" w:line="240" w:lineRule="auto"/>
        <w:jc w:val="both"/>
        <w:rPr>
          <w:rFonts w:ascii="Times New Roman" w:eastAsia="Times New Roman" w:hAnsi="Times New Roman" w:cs="Times New Roman"/>
          <w:bCs/>
          <w:lang w:val="vi-VN"/>
        </w:rPr>
      </w:pPr>
    </w:p>
    <w:p w14:paraId="06717455" w14:textId="77777777" w:rsidR="00D96D22" w:rsidRDefault="00D96D22" w:rsidP="000D5E8F">
      <w:pPr>
        <w:spacing w:after="0" w:line="240" w:lineRule="auto"/>
        <w:jc w:val="both"/>
        <w:rPr>
          <w:rFonts w:ascii="Times New Roman" w:eastAsia="Times New Roman" w:hAnsi="Times New Roman" w:cs="Times New Roman"/>
          <w:bCs/>
          <w:lang w:val="vi-VN"/>
        </w:rPr>
      </w:pPr>
    </w:p>
    <w:p w14:paraId="183F20EA" w14:textId="3BFF7AB4" w:rsidR="00D96D22"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0D5E8F">
      <w:pPr>
        <w:spacing w:after="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Quy mô Quỹ</w:t>
            </w:r>
          </w:p>
        </w:tc>
        <w:tc>
          <w:tcPr>
            <w:tcW w:w="4791" w:type="dxa"/>
          </w:tcPr>
          <w:p w14:paraId="3284EF42"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Giá dịch vụ Quản trị Quỹ (trên GTTSR) </w:t>
            </w:r>
          </w:p>
        </w:tc>
      </w:tr>
      <w:tr w:rsidR="00D96D22" w:rsidRPr="00752E19" w14:paraId="54E9CD28" w14:textId="77777777" w:rsidTr="00B55FE8">
        <w:tc>
          <w:tcPr>
            <w:tcW w:w="4140" w:type="dxa"/>
          </w:tcPr>
          <w:p w14:paraId="729D101A"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Dưới 1.000 tỷ đồng</w:t>
            </w:r>
          </w:p>
        </w:tc>
        <w:tc>
          <w:tcPr>
            <w:tcW w:w="4791" w:type="dxa"/>
          </w:tcPr>
          <w:p w14:paraId="0E7FB906"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0,025% một năm</w:t>
            </w:r>
          </w:p>
        </w:tc>
      </w:tr>
      <w:tr w:rsidR="00D96D22" w:rsidRPr="00752E19" w14:paraId="1AB340D4" w14:textId="77777777" w:rsidTr="00B55FE8">
        <w:tc>
          <w:tcPr>
            <w:tcW w:w="4140" w:type="dxa"/>
          </w:tcPr>
          <w:p w14:paraId="2870574B"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Từ 1.000 tỷ đồng đến 4.600 tỷ đồng</w:t>
            </w:r>
          </w:p>
        </w:tc>
        <w:tc>
          <w:tcPr>
            <w:tcW w:w="4791" w:type="dxa"/>
          </w:tcPr>
          <w:p w14:paraId="78D190F7"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0,02% một năm</w:t>
            </w:r>
          </w:p>
        </w:tc>
      </w:tr>
      <w:tr w:rsidR="00D96D22" w:rsidRPr="00752E19" w14:paraId="0E39B391" w14:textId="77777777" w:rsidTr="00B55FE8">
        <w:tc>
          <w:tcPr>
            <w:tcW w:w="4140" w:type="dxa"/>
          </w:tcPr>
          <w:p w14:paraId="69CACA79" w14:textId="77777777" w:rsidR="00D96D22" w:rsidRPr="00752E19" w:rsidRDefault="00D96D22" w:rsidP="000D5E8F">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Trên 4.600 tỷ đồng</w:t>
            </w:r>
          </w:p>
        </w:tc>
        <w:tc>
          <w:tcPr>
            <w:tcW w:w="4791" w:type="dxa"/>
          </w:tcPr>
          <w:p w14:paraId="23C66C69" w14:textId="77777777" w:rsidR="00D96D22" w:rsidRPr="00752E19" w:rsidRDefault="00D96D22" w:rsidP="000D5E8F">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0,0175% một năm</w:t>
            </w:r>
          </w:p>
        </w:tc>
      </w:tr>
    </w:tbl>
    <w:p w14:paraId="20219A4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0D5E8F">
      <w:pPr>
        <w:pStyle w:val="ListParagraph"/>
        <w:widowControl w:val="0"/>
        <w:numPr>
          <w:ilvl w:val="5"/>
          <w:numId w:val="25"/>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0D5E8F">
      <w:pPr>
        <w:pStyle w:val="ListParagraph"/>
        <w:widowControl w:val="0"/>
        <w:spacing w:after="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0A1EE8A9" w14:textId="77777777" w:rsidTr="00B55FE8">
        <w:trPr>
          <w:trHeight w:val="248"/>
        </w:trPr>
        <w:tc>
          <w:tcPr>
            <w:tcW w:w="2430" w:type="dxa"/>
            <w:vMerge w:val="restart"/>
            <w:vAlign w:val="center"/>
          </w:tcPr>
          <w:p w14:paraId="4675666B" w14:textId="77777777" w:rsidR="00D96D22" w:rsidRPr="00752E19" w:rsidRDefault="00D96D22" w:rsidP="000D5E8F">
            <w:pPr>
              <w:pStyle w:val="CommentText"/>
              <w:widowControl w:val="0"/>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nl-NL"/>
              </w:rPr>
              <w:t>D</w:t>
            </w:r>
            <w:r w:rsidRPr="00752E19">
              <w:rPr>
                <w:rFonts w:ascii="Times New Roman" w:hAnsi="Times New Roman"/>
                <w:i/>
                <w:noProof/>
                <w:sz w:val="22"/>
                <w:szCs w:val="22"/>
                <w:lang w:val="vi-VN"/>
              </w:rPr>
              <w:t>ịch vụ</w:t>
            </w:r>
            <w:r w:rsidRPr="000D5E8F">
              <w:rPr>
                <w:i/>
                <w:iCs/>
                <w:lang w:val="nl-NL"/>
              </w:rPr>
              <w:t xml:space="preserve"> </w:t>
            </w:r>
            <w:r w:rsidRPr="000D5E8F">
              <w:rPr>
                <w:rFonts w:ascii="Times New Roman" w:hAnsi="Times New Roman"/>
                <w:i/>
                <w:noProof/>
                <w:sz w:val="22"/>
                <w:szCs w:val="22"/>
                <w:lang w:val="nl-NL"/>
              </w:rPr>
              <w:t>Quản trị quỹ của kỳ định giá</w:t>
            </w:r>
          </w:p>
        </w:tc>
        <w:tc>
          <w:tcPr>
            <w:tcW w:w="270" w:type="dxa"/>
            <w:vMerge w:val="restart"/>
            <w:vAlign w:val="center"/>
          </w:tcPr>
          <w:p w14:paraId="20E6E267"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0D5E8F">
            <w:pPr>
              <w:pStyle w:val="CommentText"/>
              <w:widowControl w:val="0"/>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0D5E8F">
            <w:pPr>
              <w:pStyle w:val="CommentText"/>
              <w:widowControl w:val="0"/>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0D5E8F">
            <w:pPr>
              <w:pStyle w:val="CommentText"/>
              <w:widowControl w:val="0"/>
              <w:numPr>
                <w:ilvl w:val="0"/>
                <w:numId w:val="26"/>
              </w:numPr>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0D5E8F">
      <w:pPr>
        <w:spacing w:after="0" w:line="240" w:lineRule="auto"/>
        <w:jc w:val="both"/>
        <w:rPr>
          <w:rFonts w:ascii="Times New Roman" w:hAnsi="Times New Roman"/>
          <w:lang w:val="nl-NL"/>
        </w:rPr>
      </w:pPr>
    </w:p>
    <w:p w14:paraId="7C3162C9" w14:textId="77777777" w:rsidR="00D96D22" w:rsidRDefault="00D96D22" w:rsidP="000D5E8F">
      <w:pPr>
        <w:spacing w:after="0" w:line="240" w:lineRule="auto"/>
        <w:jc w:val="both"/>
        <w:rPr>
          <w:rFonts w:ascii="Times New Roman" w:hAnsi="Times New Roman"/>
          <w:lang w:val="nl-NL"/>
        </w:rPr>
      </w:pPr>
    </w:p>
    <w:p w14:paraId="157AE110" w14:textId="465C1640" w:rsidR="00D96D22" w:rsidRDefault="00D96D22" w:rsidP="000D5E8F">
      <w:pPr>
        <w:spacing w:after="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0D5E8F">
      <w:pPr>
        <w:pStyle w:val="ListParagraph"/>
        <w:numPr>
          <w:ilvl w:val="0"/>
          <w:numId w:val="27"/>
        </w:numPr>
        <w:spacing w:after="0" w:line="24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0D5E8F">
      <w:pPr>
        <w:pStyle w:val="ListParagraph"/>
        <w:numPr>
          <w:ilvl w:val="0"/>
          <w:numId w:val="27"/>
        </w:numPr>
        <w:spacing w:after="0" w:line="24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0D5E8F">
      <w:pPr>
        <w:spacing w:after="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0D5E8F">
      <w:pPr>
        <w:widowControl w:val="0"/>
        <w:spacing w:after="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 xml:space="preserve">Chi phí dự thảo, in ấn, gửi Điều Lệ Quỹ, Bản Cáo Bạch, Bản Cáo Bạch tóm tắt, báo cáo tài chính, xác nhận giao dịch, sao kê tài khoản và các tài liệu khác cho Nhà Đầu Tư; chi phí công </w:t>
      </w:r>
      <w:r w:rsidRPr="00483A63">
        <w:rPr>
          <w:rFonts w:ascii="Times New Roman" w:hAnsi="Times New Roman"/>
          <w:lang w:val="nl-NL"/>
        </w:rPr>
        <w:lastRenderedPageBreak/>
        <w:t>bố thông tin của Quỹ;</w:t>
      </w:r>
    </w:p>
    <w:p w14:paraId="19C1242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Các chi phí hợp lý và hợp lệ được chấp thuận bởi Ban Đại Diện Quỹ và phù hợp với quy định Pháp luật;</w:t>
      </w:r>
    </w:p>
    <w:p w14:paraId="25E9BFFD"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0D5E8F">
      <w:pPr>
        <w:widowControl w:val="0"/>
        <w:spacing w:after="0" w:line="240" w:lineRule="auto"/>
        <w:jc w:val="both"/>
        <w:rPr>
          <w:rFonts w:ascii="Times New Roman" w:hAnsi="Times New Roman"/>
          <w:lang w:val="nl-NL"/>
        </w:rPr>
      </w:pPr>
    </w:p>
    <w:p w14:paraId="3D910A21" w14:textId="444F712A" w:rsidR="005C55F1" w:rsidRDefault="005C55F1" w:rsidP="000D5E8F">
      <w:pPr>
        <w:pStyle w:val="ListParagraph"/>
        <w:widowControl w:val="0"/>
        <w:numPr>
          <w:ilvl w:val="1"/>
          <w:numId w:val="11"/>
        </w:numPr>
        <w:spacing w:after="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0D5E8F">
      <w:pPr>
        <w:pStyle w:val="ListParagraph"/>
        <w:spacing w:after="0" w:line="240" w:lineRule="auto"/>
        <w:ind w:left="0"/>
        <w:jc w:val="both"/>
        <w:rPr>
          <w:rFonts w:ascii="Times New Roman" w:hAnsi="Times New Roman"/>
          <w:lang w:val="nl-NL"/>
        </w:rPr>
      </w:pPr>
    </w:p>
    <w:p w14:paraId="40F2EE9B" w14:textId="0C2A1B75" w:rsidR="005C55F1" w:rsidRPr="005C55F1" w:rsidRDefault="005C55F1" w:rsidP="000D5E8F">
      <w:pPr>
        <w:pStyle w:val="ListParagraph"/>
        <w:spacing w:after="0" w:line="24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0D5E8F">
      <w:pPr>
        <w:spacing w:after="0" w:line="24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0D5E8F">
      <w:pPr>
        <w:widowControl w:val="0"/>
        <w:spacing w:after="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0D5E8F">
      <w:pPr>
        <w:pStyle w:val="ListParagraph"/>
        <w:widowControl w:val="0"/>
        <w:numPr>
          <w:ilvl w:val="1"/>
          <w:numId w:val="11"/>
        </w:numPr>
        <w:spacing w:after="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0D5E8F">
      <w:pPr>
        <w:widowControl w:val="0"/>
        <w:spacing w:after="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rsidP="000D5E8F">
      <w:pPr>
        <w:spacing w:after="0" w:line="240" w:lineRule="auto"/>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0D5E8F"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286A5E2B" w:rsidR="008205F7" w:rsidRDefault="00A071AD"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85E82">
        <w:rPr>
          <w:rFonts w:ascii="Times New Roman" w:eastAsia="Times New Roman" w:hAnsi="Times New Roman" w:cs="Times New Roman"/>
          <w:bCs/>
          <w:lang w:val="vi-VN"/>
        </w:rPr>
        <w:t>I</w:t>
      </w:r>
      <w:r w:rsidR="00D16050">
        <w:rPr>
          <w:rFonts w:ascii="Times New Roman" w:eastAsia="Times New Roman" w:hAnsi="Times New Roman" w:cs="Times New Roman"/>
          <w:bCs/>
          <w:lang w:val="vi-VN"/>
        </w:rPr>
        <w:t>I</w:t>
      </w:r>
      <w:r w:rsidR="00D16050" w:rsidRPr="007A39A5">
        <w:rPr>
          <w:rFonts w:ascii="Times New Roman" w:eastAsia="Times New Roman" w:hAnsi="Times New Roman" w:cs="Times New Roman"/>
          <w:bCs/>
          <w:lang w:val="vi-VN"/>
        </w:rPr>
        <w:t xml:space="preserve"> </w:t>
      </w:r>
      <w:r w:rsidR="008E5ADB" w:rsidRPr="007A39A5">
        <w:rPr>
          <w:rFonts w:ascii="Times New Roman" w:eastAsia="Times New Roman" w:hAnsi="Times New Roman" w:cs="Times New Roman"/>
          <w:bCs/>
          <w:lang w:val="vi-VN"/>
        </w:rPr>
        <w:t xml:space="preserve">năm </w:t>
      </w:r>
      <w:r w:rsidR="00246426">
        <w:rPr>
          <w:rFonts w:ascii="Times New Roman" w:eastAsia="Times New Roman" w:hAnsi="Times New Roman" w:cs="Times New Roman"/>
          <w:bCs/>
          <w:lang w:val="vi-VN"/>
        </w:rPr>
        <w:t>2025</w:t>
      </w:r>
    </w:p>
    <w:p w14:paraId="2683A7A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Thu nhập lãi tiền gửi, lãi trái phiếu và cổ tức:</w:t>
      </w:r>
    </w:p>
    <w:p w14:paraId="30F11174" w14:textId="31084ECD"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F1FA5E4" w14:textId="2D9B067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r w:rsidRPr="00A62440">
              <w:rPr>
                <w:rFonts w:ascii="Times New Roman" w:hAnsi="Times New Roman" w:cs="Times New Roman"/>
              </w:rPr>
              <w:lastRenderedPageBreak/>
              <w:t>Người lập:</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r w:rsidRPr="00A62440">
              <w:rPr>
                <w:rFonts w:ascii="Times New Roman" w:hAnsi="Times New Roman" w:cs="Times New Roman"/>
              </w:rPr>
              <w:t>Người duyệt: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r w:rsidRPr="00A62440">
              <w:rPr>
                <w:rFonts w:ascii="Times New Roman" w:hAnsi="Times New Roman" w:cs="Times New Roman"/>
              </w:rPr>
              <w:t>Người duyệt: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3454FEBD" w:rsidR="00E83B86" w:rsidRDefault="00CD2EA6">
    <w:pPr>
      <w:pStyle w:val="Header"/>
    </w:pPr>
    <w:r>
      <w:rPr>
        <w:noProof/>
      </w:rPr>
      <mc:AlternateContent>
        <mc:Choice Requires="wps">
          <w:drawing>
            <wp:anchor distT="0" distB="0" distL="0" distR="0" simplePos="0" relativeHeight="251659264" behindDoc="0" locked="0" layoutInCell="1" allowOverlap="1" wp14:anchorId="3BBD611E" wp14:editId="798B82F7">
              <wp:simplePos x="635" y="635"/>
              <wp:positionH relativeFrom="page">
                <wp:align>left</wp:align>
              </wp:positionH>
              <wp:positionV relativeFrom="page">
                <wp:align>top</wp:align>
              </wp:positionV>
              <wp:extent cx="667385" cy="341630"/>
              <wp:effectExtent l="0" t="0" r="18415" b="1270"/>
              <wp:wrapNone/>
              <wp:docPr id="932214826"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8CBFCBE" w14:textId="64ABC922" w:rsidR="00CD2EA6" w:rsidRPr="00CD2EA6" w:rsidRDefault="00CD2EA6" w:rsidP="00CD2EA6">
                          <w:pPr>
                            <w:spacing w:after="0"/>
                            <w:rPr>
                              <w:rFonts w:ascii="Arial" w:eastAsia="Arial" w:hAnsi="Arial" w:cs="Arial"/>
                              <w:noProof/>
                              <w:color w:val="317100"/>
                              <w:sz w:val="18"/>
                              <w:szCs w:val="18"/>
                            </w:rPr>
                          </w:pPr>
                          <w:r w:rsidRPr="00CD2EA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BD611E"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18CBFCBE" w14:textId="64ABC922" w:rsidR="00CD2EA6" w:rsidRPr="00CD2EA6" w:rsidRDefault="00CD2EA6" w:rsidP="00CD2EA6">
                    <w:pPr>
                      <w:spacing w:after="0"/>
                      <w:rPr>
                        <w:rFonts w:ascii="Arial" w:eastAsia="Arial" w:hAnsi="Arial" w:cs="Arial"/>
                        <w:noProof/>
                        <w:color w:val="317100"/>
                        <w:sz w:val="18"/>
                        <w:szCs w:val="18"/>
                      </w:rPr>
                    </w:pPr>
                    <w:r w:rsidRPr="00CD2EA6">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509396B6" w:rsidR="004D0ED5" w:rsidRDefault="00CD2EA6">
    <w:pPr>
      <w:pStyle w:val="Header"/>
      <w:jc w:val="center"/>
    </w:pPr>
    <w:r>
      <w:rPr>
        <w:noProof/>
      </w:rPr>
      <mc:AlternateContent>
        <mc:Choice Requires="wps">
          <w:drawing>
            <wp:anchor distT="0" distB="0" distL="0" distR="0" simplePos="0" relativeHeight="251660288" behindDoc="0" locked="0" layoutInCell="1" allowOverlap="1" wp14:anchorId="4909A2C0" wp14:editId="596CAC23">
              <wp:simplePos x="901700" y="450850"/>
              <wp:positionH relativeFrom="page">
                <wp:align>left</wp:align>
              </wp:positionH>
              <wp:positionV relativeFrom="page">
                <wp:align>top</wp:align>
              </wp:positionV>
              <wp:extent cx="667385" cy="341630"/>
              <wp:effectExtent l="0" t="0" r="18415" b="1270"/>
              <wp:wrapNone/>
              <wp:docPr id="119255160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C64EC3C" w14:textId="46C7C65D" w:rsidR="00CD2EA6" w:rsidRPr="00CD2EA6" w:rsidRDefault="00CD2EA6" w:rsidP="00CD2EA6">
                          <w:pPr>
                            <w:spacing w:after="0"/>
                            <w:rPr>
                              <w:rFonts w:ascii="Arial" w:eastAsia="Arial" w:hAnsi="Arial" w:cs="Arial"/>
                              <w:noProof/>
                              <w:color w:val="317100"/>
                              <w:sz w:val="18"/>
                              <w:szCs w:val="18"/>
                            </w:rPr>
                          </w:pPr>
                          <w:r w:rsidRPr="00CD2EA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09A2C0"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7C64EC3C" w14:textId="46C7C65D" w:rsidR="00CD2EA6" w:rsidRPr="00CD2EA6" w:rsidRDefault="00CD2EA6" w:rsidP="00CD2EA6">
                    <w:pPr>
                      <w:spacing w:after="0"/>
                      <w:rPr>
                        <w:rFonts w:ascii="Arial" w:eastAsia="Arial" w:hAnsi="Arial" w:cs="Arial"/>
                        <w:noProof/>
                        <w:color w:val="317100"/>
                        <w:sz w:val="18"/>
                        <w:szCs w:val="18"/>
                      </w:rPr>
                    </w:pPr>
                    <w:r w:rsidRPr="00CD2EA6">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4C5AB992" w:rsidR="00E83B86" w:rsidRDefault="00CD2EA6">
    <w:pPr>
      <w:pStyle w:val="Header"/>
    </w:pPr>
    <w:r>
      <w:rPr>
        <w:noProof/>
      </w:rPr>
      <mc:AlternateContent>
        <mc:Choice Requires="wps">
          <w:drawing>
            <wp:anchor distT="0" distB="0" distL="0" distR="0" simplePos="0" relativeHeight="251658240" behindDoc="0" locked="0" layoutInCell="1" allowOverlap="1" wp14:anchorId="4F8DEE3B" wp14:editId="192E00E5">
              <wp:simplePos x="635" y="635"/>
              <wp:positionH relativeFrom="page">
                <wp:align>left</wp:align>
              </wp:positionH>
              <wp:positionV relativeFrom="page">
                <wp:align>top</wp:align>
              </wp:positionV>
              <wp:extent cx="667385" cy="341630"/>
              <wp:effectExtent l="0" t="0" r="18415" b="1270"/>
              <wp:wrapNone/>
              <wp:docPr id="62117331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A30E7F0" w14:textId="413ECE89" w:rsidR="00CD2EA6" w:rsidRPr="00CD2EA6" w:rsidRDefault="00CD2EA6" w:rsidP="00CD2EA6">
                          <w:pPr>
                            <w:spacing w:after="0"/>
                            <w:rPr>
                              <w:rFonts w:ascii="Arial" w:eastAsia="Arial" w:hAnsi="Arial" w:cs="Arial"/>
                              <w:noProof/>
                              <w:color w:val="317100"/>
                              <w:sz w:val="18"/>
                              <w:szCs w:val="18"/>
                            </w:rPr>
                          </w:pPr>
                          <w:r w:rsidRPr="00CD2EA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8DEE3B"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7A30E7F0" w14:textId="413ECE89" w:rsidR="00CD2EA6" w:rsidRPr="00CD2EA6" w:rsidRDefault="00CD2EA6" w:rsidP="00CD2EA6">
                    <w:pPr>
                      <w:spacing w:after="0"/>
                      <w:rPr>
                        <w:rFonts w:ascii="Arial" w:eastAsia="Arial" w:hAnsi="Arial" w:cs="Arial"/>
                        <w:noProof/>
                        <w:color w:val="317100"/>
                        <w:sz w:val="18"/>
                        <w:szCs w:val="18"/>
                      </w:rPr>
                    </w:pPr>
                    <w:r w:rsidRPr="00CD2EA6">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5E8F"/>
    <w:rsid w:val="000D65C9"/>
    <w:rsid w:val="000D7393"/>
    <w:rsid w:val="000E1197"/>
    <w:rsid w:val="000E266F"/>
    <w:rsid w:val="000E280B"/>
    <w:rsid w:val="000E50E5"/>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4F56"/>
    <w:rsid w:val="00135512"/>
    <w:rsid w:val="0013794C"/>
    <w:rsid w:val="00144B65"/>
    <w:rsid w:val="00144B68"/>
    <w:rsid w:val="0014725E"/>
    <w:rsid w:val="001507A3"/>
    <w:rsid w:val="00150BCD"/>
    <w:rsid w:val="00150E5C"/>
    <w:rsid w:val="0015360B"/>
    <w:rsid w:val="0015396D"/>
    <w:rsid w:val="001615DB"/>
    <w:rsid w:val="00162765"/>
    <w:rsid w:val="00162B5E"/>
    <w:rsid w:val="001645AD"/>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2980"/>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5E82"/>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178FD"/>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2EA6"/>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E7D76"/>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SNXxqg0YKyDICmWfmAJ/7DVh0lTogawb+X2Rx17iF1k=</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Dze4pONbZdCs0l59/bEOgtkz+LPCoIBDQXb1FDVGqNA=</DigestValue>
    </Reference>
  </SignedInfo>
  <SignatureValue>MGU6fjsnWzrCub+G5f5aatcqD9Q7ypJPdMjF+03LsAIaM6GqXxPEe85fMzvgrkIrsI/BE+Htd5Vl
ss2fi0PnJZFzsqz64KSFh09g/SF03l+TUcakG0OOan33Kcu64RSV044fXedgh0ANp+0M/FS51glJ
GAHEfsTs1UdRMc/sx7y8TQafHpMHzoU7Zn2FIOsauirmFC4U9cyoJvDvZhTvUwv3ki8xG6EceJTv
M8Rc+1UzVrkPqqDWCX9qf2pK592SLWq/KJQiwZHCPYcUQlRHg3Q0Mv8zmX1ZYMBeD1tEY+vUHu6C
BVgqNi0qHFoM3F0LFYwVhwsuk3YK+JOtYjTUJg==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DRjRPTbaqxtvdH6fw1t7xQuXttsW6LM5bS/j/Tg66Bw=</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XUKd+Q0B6dkragpcB0lnFx7MwxOIzjjjuuPeUI9o3Po=</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G9RhT2XGUS8wp58d54bqdUWM6hxRnGmTYEHUZarAAPw=</DigestValue>
      </Reference>
      <Reference URI="/word/header2.xml?ContentType=application/vnd.openxmlformats-officedocument.wordprocessingml.header+xml">
        <DigestMethod Algorithm="http://www.w3.org/2001/04/xmlenc#sha256"/>
        <DigestValue>BTF+MQFDHazji0Zz8s4A/Wqza1goT+efBOCYKx6Kcvg=</DigestValue>
      </Reference>
      <Reference URI="/word/header3.xml?ContentType=application/vnd.openxmlformats-officedocument.wordprocessingml.header+xml">
        <DigestMethod Algorithm="http://www.w3.org/2001/04/xmlenc#sha256"/>
        <DigestValue>TZfwGDk/KgUBLOCk3J/x14qn7+DY8mKta2uINvkGCNo=</DigestValue>
      </Reference>
      <Reference URI="/word/numbering.xml?ContentType=application/vnd.openxmlformats-officedocument.wordprocessingml.numbering+xml">
        <DigestMethod Algorithm="http://www.w3.org/2001/04/xmlenc#sha256"/>
        <DigestValue>4yM8G2xdR73LgdpEaoQ31MbS7BxwHEkOvl06Id9+0Rk=</DigestValue>
      </Reference>
      <Reference URI="/word/settings.xml?ContentType=application/vnd.openxmlformats-officedocument.wordprocessingml.settings+xml">
        <DigestMethod Algorithm="http://www.w3.org/2001/04/xmlenc#sha256"/>
        <DigestValue>nLcKEyZ69PkyRnoaDwdS8BRJBWi+d4abF+BwuwJCWlM=</DigestValue>
      </Reference>
      <Reference URI="/word/styles.xml?ContentType=application/vnd.openxmlformats-officedocument.wordprocessingml.styles+xml">
        <DigestMethod Algorithm="http://www.w3.org/2001/04/xmlenc#sha256"/>
        <DigestValue>j7ebQBAnRzWckA1eAt10RnZOtfsVrDJGG+t7gqQSqIA=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2025-10-15T09:07:39Z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2025-10-15T09:07:39Z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10</Pages>
  <Words>5007</Words>
  <Characters>28542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11</cp:revision>
  <cp:lastPrinted>2020-01-16T08:54:00Z</cp:lastPrinted>
  <dcterms:created xsi:type="dcterms:W3CDTF">2025-01-16T10:49:00Z</dcterms:created>
  <dcterms:modified xsi:type="dcterms:W3CDTF">2025-10-10T12:29:00Z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25065a42,3790782a,4714e4b0</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